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Arial" w:hAnsi="Arial" w:cs="Arial"/>
          <w:b/>
          <w:sz w:val="26"/>
          <w:szCs w:val="26"/>
        </w:rPr>
      </w:pPr>
      <w:r>
        <w:rPr>
          <w:rFonts w:cs="Arial" w:ascii="Arial" w:hAnsi="Arial"/>
          <w:b/>
          <w:sz w:val="26"/>
          <w:szCs w:val="26"/>
        </w:rPr>
      </w:r>
    </w:p>
    <w:p>
      <w:pPr>
        <w:pStyle w:val="Normal"/>
        <w:spacing w:lineRule="auto" w:line="360"/>
        <w:rPr/>
      </w:pPr>
      <w:r>
        <w:rPr>
          <w:rFonts w:cs="Arial" w:ascii="Arial" w:hAnsi="Arial"/>
          <w:b/>
          <w:sz w:val="26"/>
          <w:szCs w:val="26"/>
        </w:rPr>
        <w:t xml:space="preserve">DECRETO Nº. 3.945, DE 15 DE JULHO DE 2026. </w:t>
      </w:r>
    </w:p>
    <w:p>
      <w:pPr>
        <w:pStyle w:val="Normal"/>
        <w:spacing w:lineRule="auto" w:line="360"/>
        <w:rPr>
          <w:rFonts w:ascii="Arial" w:hAnsi="Arial" w:cs="Arial"/>
          <w:b/>
          <w:sz w:val="26"/>
          <w:szCs w:val="26"/>
        </w:rPr>
      </w:pPr>
      <w:r>
        <w:rPr>
          <w:rFonts w:cs="Arial" w:ascii="Arial" w:hAnsi="Arial"/>
          <w:b/>
          <w:sz w:val="26"/>
          <w:szCs w:val="26"/>
        </w:rPr>
      </w:r>
    </w:p>
    <w:p>
      <w:pPr>
        <w:pStyle w:val="Normal"/>
        <w:spacing w:lineRule="auto" w:line="360"/>
        <w:ind w:left="4956" w:right="0"/>
        <w:jc w:val="both"/>
        <w:rPr/>
      </w:pPr>
      <w:r>
        <w:rPr>
          <w:rFonts w:cs="Arial" w:ascii="Arial" w:hAnsi="Arial"/>
          <w:sz w:val="26"/>
          <w:szCs w:val="26"/>
        </w:rPr>
        <w:t>Dispõe sobre a abertura de Crédito Adicional Suplementar até o limite de</w:t>
      </w:r>
      <w:r>
        <w:rPr>
          <w:rFonts w:cs="Arial" w:ascii="Arial" w:hAnsi="Arial"/>
          <w:sz w:val="26"/>
          <w:szCs w:val="26"/>
          <w:shd w:fill="auto" w:val="clear"/>
        </w:rPr>
        <w:t xml:space="preserve"> </w:t>
      </w:r>
      <w:r>
        <w:rPr>
          <w:rFonts w:cs="Arial" w:ascii="Arial" w:hAnsi="Arial"/>
          <w:color w:val="auto"/>
          <w:sz w:val="26"/>
          <w:szCs w:val="26"/>
          <w:shd w:fill="auto" w:val="clear"/>
        </w:rPr>
        <w:t xml:space="preserve">R$ 309.000,00 </w:t>
      </w:r>
      <w:r>
        <w:rPr>
          <w:rFonts w:eastAsia="Times New Roman" w:cs="Arial" w:ascii="Arial" w:hAnsi="Arial"/>
          <w:color w:val="auto"/>
          <w:kern w:val="0"/>
          <w:sz w:val="26"/>
          <w:szCs w:val="26"/>
          <w:lang w:val="pt-BR" w:eastAsia="zh-CN" w:bidi="ar-SA"/>
        </w:rPr>
        <w:t xml:space="preserve">(trezentos e nove mil reais), </w:t>
      </w:r>
      <w:r>
        <w:rPr>
          <w:rFonts w:cs="Arial" w:ascii="Arial" w:hAnsi="Arial"/>
          <w:sz w:val="26"/>
          <w:szCs w:val="26"/>
          <w:shd w:fill="FFFFFF" w:val="clear"/>
        </w:rPr>
        <w:t>e dá outras providências.</w:t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cs="Arial" w:ascii="Arial" w:hAnsi="Arial"/>
          <w:color w:val="000000"/>
          <w:sz w:val="26"/>
          <w:szCs w:val="26"/>
        </w:rPr>
      </w:r>
    </w:p>
    <w:p>
      <w:pPr>
        <w:pStyle w:val="Normal"/>
        <w:spacing w:lineRule="auto" w:line="360"/>
        <w:ind w:firstLine="1418" w:right="0"/>
        <w:jc w:val="both"/>
        <w:rPr/>
      </w:pPr>
      <w:r>
        <w:rPr>
          <w:rFonts w:cs="Arial" w:ascii="Arial" w:hAnsi="Arial"/>
          <w:b/>
          <w:sz w:val="26"/>
          <w:szCs w:val="26"/>
        </w:rPr>
        <w:t>O PREFEITO DO MUNICÍPIO DE PINHEIRAL</w:t>
      </w:r>
      <w:r>
        <w:rPr>
          <w:rFonts w:cs="Arial" w:ascii="Arial" w:hAnsi="Arial"/>
          <w:sz w:val="26"/>
          <w:szCs w:val="26"/>
        </w:rPr>
        <w:t>, no uso de suas atribuições legais;</w:t>
      </w:r>
    </w:p>
    <w:p>
      <w:pPr>
        <w:pStyle w:val="Normal"/>
        <w:spacing w:lineRule="auto" w:line="360"/>
        <w:ind w:firstLine="1418" w:right="0"/>
        <w:jc w:val="both"/>
        <w:rPr/>
      </w:pPr>
      <w:r>
        <w:rPr>
          <w:rFonts w:cs="Arial" w:ascii="Arial" w:hAnsi="Arial"/>
          <w:b/>
          <w:sz w:val="26"/>
          <w:szCs w:val="26"/>
        </w:rPr>
        <w:t>CONSIDERANDO</w:t>
      </w:r>
      <w:r>
        <w:rPr>
          <w:rFonts w:cs="Arial" w:ascii="Arial" w:hAnsi="Arial"/>
          <w:sz w:val="26"/>
          <w:szCs w:val="26"/>
        </w:rPr>
        <w:t xml:space="preserve"> o termo da alínea “c”, inciso I, do artigo 45, da Lei Municipal, que determina a formalização do ato administrativo;</w:t>
      </w:r>
    </w:p>
    <w:p>
      <w:pPr>
        <w:pStyle w:val="Normal"/>
        <w:spacing w:lineRule="auto" w:line="360"/>
        <w:ind w:firstLine="1418" w:right="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spacing w:lineRule="auto" w:line="360"/>
        <w:ind w:firstLine="1418" w:right="0"/>
        <w:jc w:val="both"/>
        <w:rPr/>
      </w:pPr>
      <w:r>
        <w:rPr>
          <w:rFonts w:cs="Arial" w:ascii="Arial" w:hAnsi="Arial"/>
          <w:b/>
          <w:sz w:val="26"/>
          <w:szCs w:val="26"/>
        </w:rPr>
        <w:t>CONSIDERANDO</w:t>
      </w:r>
      <w:r>
        <w:rPr>
          <w:rFonts w:cs="Arial" w:ascii="Arial" w:hAnsi="Arial"/>
          <w:sz w:val="26"/>
          <w:szCs w:val="26"/>
        </w:rPr>
        <w:t xml:space="preserve"> a autorização para suplementação das dotações orçamentárias constantes da Lei nº. 1.451 de 19/12/2025;</w:t>
      </w:r>
    </w:p>
    <w:p>
      <w:pPr>
        <w:pStyle w:val="Normal"/>
        <w:spacing w:lineRule="auto" w:line="360"/>
        <w:ind w:firstLine="1418" w:right="0"/>
        <w:jc w:val="both"/>
        <w:rPr>
          <w:rFonts w:ascii="Arial" w:hAnsi="Arial" w:cs="Arial"/>
          <w:b/>
          <w:sz w:val="26"/>
          <w:szCs w:val="26"/>
        </w:rPr>
      </w:pPr>
      <w:r>
        <w:rPr>
          <w:rFonts w:cs="Arial" w:ascii="Arial" w:hAnsi="Arial"/>
          <w:b/>
          <w:sz w:val="26"/>
          <w:szCs w:val="26"/>
        </w:rPr>
      </w:r>
    </w:p>
    <w:p>
      <w:pPr>
        <w:pStyle w:val="Normal"/>
        <w:spacing w:lineRule="auto" w:line="360"/>
        <w:ind w:firstLine="1418" w:right="0"/>
        <w:jc w:val="both"/>
        <w:rPr/>
      </w:pPr>
      <w:r>
        <w:rPr>
          <w:rFonts w:cs="Arial" w:ascii="Arial" w:hAnsi="Arial"/>
          <w:b/>
          <w:sz w:val="26"/>
          <w:szCs w:val="26"/>
        </w:rPr>
        <w:t>CONSIDERANDO</w:t>
      </w:r>
      <w:r>
        <w:rPr>
          <w:rFonts w:cs="Arial" w:ascii="Arial" w:hAnsi="Arial"/>
          <w:sz w:val="26"/>
          <w:szCs w:val="26"/>
        </w:rPr>
        <w:t xml:space="preserve"> ser de competência do Prefeito, tomar medidas que visem assegurar, em tempo hábil, a soma dos recursos suficientes;</w:t>
      </w:r>
    </w:p>
    <w:p>
      <w:pPr>
        <w:pStyle w:val="Normal"/>
        <w:spacing w:lineRule="auto" w:line="360"/>
        <w:jc w:val="both"/>
        <w:rPr>
          <w:rFonts w:ascii="Arial" w:hAnsi="Arial" w:cs="Arial"/>
          <w:b/>
          <w:sz w:val="26"/>
          <w:szCs w:val="26"/>
        </w:rPr>
      </w:pPr>
      <w:r>
        <w:rPr>
          <w:rFonts w:cs="Arial" w:ascii="Arial" w:hAnsi="Arial"/>
          <w:b/>
          <w:sz w:val="26"/>
          <w:szCs w:val="26"/>
        </w:rPr>
      </w:r>
    </w:p>
    <w:p>
      <w:pPr>
        <w:pStyle w:val="Normal"/>
        <w:spacing w:lineRule="auto" w:line="360"/>
        <w:jc w:val="center"/>
        <w:rPr/>
      </w:pPr>
      <w:r>
        <w:rPr>
          <w:rFonts w:cs="Arial" w:ascii="Arial" w:hAnsi="Arial"/>
          <w:b/>
          <w:sz w:val="26"/>
          <w:szCs w:val="26"/>
        </w:rPr>
        <w:t>DECRETA</w:t>
      </w:r>
    </w:p>
    <w:p>
      <w:pPr>
        <w:pStyle w:val="Normal"/>
        <w:spacing w:lineRule="auto" w:line="360"/>
        <w:rPr>
          <w:rFonts w:ascii="Arial" w:hAnsi="Arial" w:cs="Arial"/>
          <w:b/>
          <w:sz w:val="26"/>
          <w:szCs w:val="26"/>
        </w:rPr>
      </w:pPr>
      <w:r>
        <w:rPr>
          <w:rFonts w:cs="Arial" w:ascii="Arial" w:hAnsi="Arial"/>
          <w:b/>
          <w:sz w:val="26"/>
          <w:szCs w:val="26"/>
        </w:rPr>
      </w:r>
    </w:p>
    <w:p>
      <w:pPr>
        <w:pStyle w:val="Normal"/>
        <w:spacing w:lineRule="auto" w:line="360"/>
        <w:ind w:firstLine="1418" w:right="0"/>
        <w:jc w:val="both"/>
        <w:rPr/>
      </w:pPr>
      <w:r>
        <w:rPr>
          <w:rFonts w:cs="Arial" w:ascii="Arial" w:hAnsi="Arial"/>
          <w:b/>
          <w:bCs/>
          <w:sz w:val="26"/>
          <w:szCs w:val="26"/>
        </w:rPr>
        <w:t>Artigo 1º</w:t>
      </w:r>
      <w:r>
        <w:rPr>
          <w:rFonts w:cs="Arial" w:ascii="Arial" w:hAnsi="Arial"/>
          <w:sz w:val="26"/>
          <w:szCs w:val="26"/>
        </w:rPr>
        <w:t xml:space="preserve"> – Fica aberto o Crédito Adicional Suplementar até o limite de            </w:t>
      </w:r>
      <w:r>
        <w:rPr>
          <w:rFonts w:eastAsia="Times New Roman" w:cs="Arial" w:ascii="Arial" w:hAnsi="Arial"/>
          <w:color w:val="auto"/>
          <w:kern w:val="0"/>
          <w:sz w:val="26"/>
          <w:szCs w:val="26"/>
          <w:shd w:fill="auto" w:val="clear"/>
          <w:lang w:val="pt-BR" w:eastAsia="zh-CN" w:bidi="ar-SA"/>
        </w:rPr>
        <w:t xml:space="preserve">R$ 309.000,00 </w:t>
      </w:r>
      <w:r>
        <w:rPr>
          <w:rFonts w:eastAsia="Times New Roman" w:cs="Arial" w:ascii="Arial" w:hAnsi="Arial"/>
          <w:color w:val="auto"/>
          <w:kern w:val="0"/>
          <w:sz w:val="26"/>
          <w:szCs w:val="26"/>
          <w:lang w:val="pt-BR" w:eastAsia="zh-CN" w:bidi="ar-SA"/>
        </w:rPr>
        <w:t>(trezentos e nove mil reais)</w:t>
      </w:r>
      <w:r>
        <w:rPr>
          <w:rFonts w:eastAsia="Times New Roman" w:cs="Arial" w:ascii="Arial" w:hAnsi="Arial"/>
          <w:color w:val="auto"/>
          <w:kern w:val="0"/>
          <w:sz w:val="26"/>
          <w:szCs w:val="26"/>
          <w:shd w:fill="auto" w:val="clear"/>
          <w:lang w:val="pt-BR" w:eastAsia="zh-CN" w:bidi="ar-SA"/>
        </w:rPr>
        <w:t xml:space="preserve">, </w:t>
      </w:r>
      <w:r>
        <w:rPr>
          <w:rFonts w:cs="Arial" w:ascii="Arial" w:hAnsi="Arial"/>
          <w:sz w:val="26"/>
          <w:szCs w:val="26"/>
          <w:shd w:fill="auto" w:val="clear"/>
        </w:rPr>
        <w:t xml:space="preserve">a fim de atender as despesas assim codificadas: </w:t>
      </w:r>
    </w:p>
    <w:tbl>
      <w:tblPr>
        <w:tblW w:w="1036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6"/>
        <w:gridCol w:w="1013"/>
        <w:gridCol w:w="2119"/>
        <w:gridCol w:w="2561"/>
        <w:gridCol w:w="1453"/>
        <w:gridCol w:w="911"/>
        <w:gridCol w:w="1581"/>
      </w:tblGrid>
      <w:tr>
        <w:trPr>
          <w:trHeight w:val="483" w:hRule="atLeast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COD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U.O.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Função-Programa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ind w:hanging="100" w:right="-10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Objetivo do Programa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Elemento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Fonte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Valor (R$)</w:t>
            </w:r>
          </w:p>
        </w:tc>
      </w:tr>
      <w:tr>
        <w:trPr>
          <w:trHeight w:val="917" w:hRule="atLeast"/>
        </w:trPr>
        <w:tc>
          <w:tcPr>
            <w:tcW w:w="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  <w:t>311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02.017</w:t>
            </w:r>
          </w:p>
        </w:tc>
        <w:tc>
          <w:tcPr>
            <w:tcW w:w="2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  <w:t>15.452.0005.10510</w:t>
            </w:r>
          </w:p>
        </w:tc>
        <w:tc>
          <w:tcPr>
            <w:tcW w:w="2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bCs/>
                <w:sz w:val="22"/>
                <w:szCs w:val="22"/>
              </w:rPr>
              <w:t>Construir, ampliar, reformar e urbanizar praças, quadras, ginásios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3.3.90.39.00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  <w:t>1.720</w:t>
            </w: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  <w:t>64.000,00</w:t>
            </w:r>
          </w:p>
        </w:tc>
      </w:tr>
      <w:tr>
        <w:trPr>
          <w:trHeight w:val="563" w:hRule="atLeast"/>
        </w:trPr>
        <w:tc>
          <w:tcPr>
            <w:tcW w:w="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  <w:t>377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02.020</w:t>
            </w:r>
          </w:p>
        </w:tc>
        <w:tc>
          <w:tcPr>
            <w:tcW w:w="2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  <w:t>04.122.0001.20101</w:t>
            </w:r>
          </w:p>
        </w:tc>
        <w:tc>
          <w:tcPr>
            <w:tcW w:w="2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  <w:t>Manutenção das Secretarias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3.3.90.32.00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  <w:t>1.500</w:t>
            </w: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  <w:t>8.000,00</w:t>
            </w:r>
          </w:p>
        </w:tc>
      </w:tr>
      <w:tr>
        <w:trPr>
          <w:trHeight w:val="759" w:hRule="atLeast"/>
        </w:trPr>
        <w:tc>
          <w:tcPr>
            <w:tcW w:w="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  <w:t>407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02.020</w:t>
            </w:r>
          </w:p>
        </w:tc>
        <w:tc>
          <w:tcPr>
            <w:tcW w:w="2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  <w:t>27.812.0011.11103</w:t>
            </w:r>
          </w:p>
        </w:tc>
        <w:tc>
          <w:tcPr>
            <w:tcW w:w="2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  <w:t>Incentivar o esporte, o lazer e a promoção da juventude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3.3.90.36.00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  <w:t>1.500</w:t>
            </w: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  <w:t>20.000,00</w:t>
            </w:r>
          </w:p>
        </w:tc>
      </w:tr>
      <w:tr>
        <w:trPr>
          <w:trHeight w:val="698" w:hRule="atLeast"/>
        </w:trPr>
        <w:tc>
          <w:tcPr>
            <w:tcW w:w="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11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04.001</w:t>
            </w:r>
          </w:p>
        </w:tc>
        <w:tc>
          <w:tcPr>
            <w:tcW w:w="2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08.122.0001.20101</w:t>
            </w:r>
          </w:p>
        </w:tc>
        <w:tc>
          <w:tcPr>
            <w:tcW w:w="2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Manutenção das Secretarias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3.3.90.30.00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  <w:t>1.500</w:t>
            </w: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right"/>
              <w:rPr/>
            </w:pPr>
            <w:r>
              <w:rPr>
                <w:rFonts w:cs="Arial" w:ascii="Arial" w:hAnsi="Arial"/>
                <w:sz w:val="22"/>
                <w:szCs w:val="22"/>
              </w:rPr>
              <w:t>15.000,00</w:t>
            </w:r>
          </w:p>
        </w:tc>
      </w:tr>
      <w:tr>
        <w:trPr>
          <w:trHeight w:val="675" w:hRule="atLeast"/>
        </w:trPr>
        <w:tc>
          <w:tcPr>
            <w:tcW w:w="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53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04.001</w:t>
            </w:r>
          </w:p>
        </w:tc>
        <w:tc>
          <w:tcPr>
            <w:tcW w:w="2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" w:ascii="Arial" w:hAnsi="Arial"/>
                <w:sz w:val="22"/>
                <w:szCs w:val="22"/>
              </w:rPr>
              <w:t>08.244.0006.20604</w:t>
            </w:r>
          </w:p>
        </w:tc>
        <w:tc>
          <w:tcPr>
            <w:tcW w:w="2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" w:ascii="Arial" w:hAnsi="Arial"/>
                <w:sz w:val="22"/>
                <w:szCs w:val="22"/>
              </w:rPr>
              <w:t>Conceder Benefícios Eventuais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center"/>
              <w:rPr/>
            </w:pPr>
            <w:r>
              <w:rPr>
                <w:rFonts w:cs="Arial" w:ascii="Arial" w:hAnsi="Arial"/>
                <w:sz w:val="22"/>
                <w:szCs w:val="22"/>
              </w:rPr>
              <w:t>3.3.90.39.00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  <w:t>1.500</w:t>
            </w: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right"/>
              <w:rPr/>
            </w:pPr>
            <w:r>
              <w:rPr>
                <w:rFonts w:cs="Arial" w:ascii="Arial" w:hAnsi="Arial"/>
                <w:sz w:val="22"/>
                <w:szCs w:val="22"/>
              </w:rPr>
              <w:t>1.000,00</w:t>
            </w:r>
          </w:p>
        </w:tc>
      </w:tr>
      <w:tr>
        <w:trPr>
          <w:trHeight w:val="563" w:hRule="atLeast"/>
        </w:trPr>
        <w:tc>
          <w:tcPr>
            <w:tcW w:w="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eastAsia="Calibri" w:cs="Arial"/>
                <w:kern w:val="2"/>
                <w:sz w:val="22"/>
                <w:szCs w:val="22"/>
                <w:lang w:eastAsia="en-US"/>
              </w:rPr>
            </w:pPr>
            <w:r>
              <w:rPr>
                <w:rFonts w:eastAsia="Calibri" w:cs="Arial" w:ascii="Arial" w:hAnsi="Arial"/>
                <w:kern w:val="2"/>
                <w:sz w:val="22"/>
                <w:szCs w:val="22"/>
                <w:lang w:eastAsia="en-US"/>
              </w:rPr>
              <w:t>44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02.003</w:t>
            </w:r>
          </w:p>
        </w:tc>
        <w:tc>
          <w:tcPr>
            <w:tcW w:w="2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04.122.0001.20101</w:t>
            </w:r>
          </w:p>
        </w:tc>
        <w:tc>
          <w:tcPr>
            <w:tcW w:w="2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Manutenção das Secretarias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3.3.90.30.00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  <w:t>1.720</w:t>
            </w: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13.000,00</w:t>
            </w:r>
          </w:p>
        </w:tc>
      </w:tr>
      <w:tr>
        <w:trPr>
          <w:trHeight w:val="563" w:hRule="atLeast"/>
        </w:trPr>
        <w:tc>
          <w:tcPr>
            <w:tcW w:w="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eastAsia="Calibri" w:cs="Arial"/>
                <w:kern w:val="2"/>
                <w:sz w:val="22"/>
                <w:szCs w:val="22"/>
                <w:lang w:eastAsia="en-US"/>
              </w:rPr>
            </w:pPr>
            <w:r>
              <w:rPr>
                <w:rFonts w:eastAsia="Calibri" w:cs="Arial" w:ascii="Arial" w:hAnsi="Arial"/>
                <w:kern w:val="2"/>
                <w:sz w:val="22"/>
                <w:szCs w:val="22"/>
                <w:lang w:eastAsia="en-US"/>
              </w:rPr>
              <w:t>122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02.005</w:t>
            </w:r>
          </w:p>
        </w:tc>
        <w:tc>
          <w:tcPr>
            <w:tcW w:w="2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13.122.0010.11001</w:t>
            </w:r>
          </w:p>
        </w:tc>
        <w:tc>
          <w:tcPr>
            <w:tcW w:w="2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Gerir o Fundo Municipal da Cultura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3.3.90.36.00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  <w:t>2.719</w:t>
            </w: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100.000,00</w:t>
            </w:r>
          </w:p>
        </w:tc>
      </w:tr>
      <w:tr>
        <w:trPr>
          <w:trHeight w:val="563" w:hRule="atLeast"/>
        </w:trPr>
        <w:tc>
          <w:tcPr>
            <w:tcW w:w="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eastAsia="Calibri" w:cs="Arial"/>
                <w:kern w:val="2"/>
                <w:sz w:val="22"/>
                <w:szCs w:val="22"/>
                <w:lang w:eastAsia="en-US"/>
              </w:rPr>
            </w:pPr>
            <w:r>
              <w:rPr>
                <w:rFonts w:eastAsia="Calibri" w:cs="Arial" w:ascii="Arial" w:hAnsi="Arial"/>
                <w:kern w:val="2"/>
                <w:sz w:val="22"/>
                <w:szCs w:val="22"/>
                <w:lang w:eastAsia="en-US"/>
              </w:rPr>
              <w:t>123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02.005</w:t>
            </w:r>
          </w:p>
        </w:tc>
        <w:tc>
          <w:tcPr>
            <w:tcW w:w="2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13.122.0010.11001</w:t>
            </w:r>
          </w:p>
        </w:tc>
        <w:tc>
          <w:tcPr>
            <w:tcW w:w="2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Gerir o Fundo Municipal da Cultura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3.3.90.39.00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  <w:t>2.719</w:t>
            </w: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43.000,00</w:t>
            </w:r>
          </w:p>
        </w:tc>
      </w:tr>
      <w:tr>
        <w:trPr>
          <w:trHeight w:val="563" w:hRule="atLeast"/>
        </w:trPr>
        <w:tc>
          <w:tcPr>
            <w:tcW w:w="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 w:eastAsia="Calibri" w:cs="Arial"/>
                <w:kern w:val="2"/>
                <w:sz w:val="22"/>
                <w:szCs w:val="22"/>
                <w:lang w:eastAsia="en-US"/>
              </w:rPr>
            </w:pPr>
            <w:r>
              <w:rPr>
                <w:rFonts w:eastAsia="Calibri" w:cs="Arial" w:ascii="Arial" w:hAnsi="Arial"/>
                <w:kern w:val="2"/>
                <w:sz w:val="22"/>
                <w:szCs w:val="22"/>
                <w:lang w:eastAsia="en-US"/>
              </w:rPr>
              <w:t>124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02.005</w:t>
            </w:r>
          </w:p>
        </w:tc>
        <w:tc>
          <w:tcPr>
            <w:tcW w:w="2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13.122.0010.11001</w:t>
            </w:r>
          </w:p>
        </w:tc>
        <w:tc>
          <w:tcPr>
            <w:tcW w:w="2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Gerir o Fundo Municipal da Cultura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4.4.90.52.00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  <w:t>2.719</w:t>
            </w: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45.000,00</w:t>
            </w:r>
          </w:p>
        </w:tc>
      </w:tr>
      <w:tr>
        <w:trPr>
          <w:trHeight w:val="282" w:hRule="atLeast"/>
        </w:trPr>
        <w:tc>
          <w:tcPr>
            <w:tcW w:w="878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right"/>
              <w:rPr>
                <w:i w:val="false"/>
                <w:iCs w:val="false"/>
              </w:rPr>
            </w:pPr>
            <w:r>
              <w:rPr>
                <w:rFonts w:cs="Arial" w:ascii="Arial" w:hAnsi="Arial"/>
                <w:b/>
                <w:i w:val="false"/>
                <w:iCs w:val="false"/>
                <w:sz w:val="22"/>
                <w:szCs w:val="22"/>
              </w:rPr>
              <w:t>TOTAL</w:t>
            </w: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right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309.000,00</w:t>
            </w:r>
          </w:p>
        </w:tc>
      </w:tr>
    </w:tbl>
    <w:p>
      <w:pPr>
        <w:pStyle w:val="Normal"/>
        <w:spacing w:lineRule="auto" w:line="240"/>
        <w:ind w:firstLine="1276" w:right="0"/>
        <w:jc w:val="both"/>
        <w:rPr>
          <w:rFonts w:ascii="Arial" w:hAnsi="Arial" w:cs="Arial"/>
          <w:b/>
          <w:bCs/>
          <w:sz w:val="26"/>
          <w:szCs w:val="26"/>
        </w:rPr>
      </w:pPr>
      <w:r>
        <w:rPr>
          <w:rFonts w:cs="Arial" w:ascii="Arial" w:hAnsi="Arial"/>
          <w:b/>
          <w:bCs/>
          <w:sz w:val="26"/>
          <w:szCs w:val="26"/>
        </w:rPr>
      </w:r>
    </w:p>
    <w:p>
      <w:pPr>
        <w:pStyle w:val="Normal"/>
        <w:spacing w:lineRule="auto" w:line="360"/>
        <w:ind w:firstLine="1276" w:right="0"/>
        <w:jc w:val="both"/>
        <w:rPr/>
      </w:pPr>
      <w:r>
        <w:rPr>
          <w:rFonts w:cs="Arial" w:ascii="Arial" w:hAnsi="Arial"/>
          <w:b/>
          <w:bCs/>
          <w:sz w:val="26"/>
          <w:szCs w:val="26"/>
        </w:rPr>
        <w:t>Artigo 2º</w:t>
      </w:r>
      <w:r>
        <w:rPr>
          <w:rFonts w:cs="Arial" w:ascii="Arial" w:hAnsi="Arial"/>
          <w:sz w:val="26"/>
          <w:szCs w:val="26"/>
        </w:rPr>
        <w:t xml:space="preserve"> – Para permitir a abertura do crédito, aludido no artigo anterior, serão utilizadas como fontes de recursos as anulações parciais ou totais das seguintes dotações:</w:t>
      </w:r>
    </w:p>
    <w:tbl>
      <w:tblPr>
        <w:tblW w:w="1034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915"/>
        <w:gridCol w:w="2145"/>
        <w:gridCol w:w="2597"/>
        <w:gridCol w:w="1543"/>
        <w:gridCol w:w="915"/>
        <w:gridCol w:w="1453"/>
      </w:tblGrid>
      <w:tr>
        <w:trPr>
          <w:trHeight w:val="441" w:hRule="atLeast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COD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U.O.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Função-Programa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Objetivo do Programa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Elemento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Fonte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Valor (R$)</w:t>
            </w:r>
          </w:p>
        </w:tc>
      </w:tr>
      <w:tr>
        <w:trPr>
          <w:trHeight w:val="702" w:hRule="atLeast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149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02.005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13.392.0010.21003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Realizar o Calendário de Eventos e Festividades do Município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3.3.90.39.00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1.720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Calibri" w:cs="" w:ascii="Arial" w:hAnsi="Arial"/>
                <w:kern w:val="2"/>
                <w:sz w:val="22"/>
                <w:szCs w:val="22"/>
                <w:lang w:val="pt-BR" w:eastAsia="en-US" w:bidi="ar-SA"/>
              </w:rPr>
              <w:t>64.000,00</w:t>
            </w:r>
          </w:p>
        </w:tc>
      </w:tr>
      <w:tr>
        <w:trPr>
          <w:trHeight w:val="702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  <w:t>378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02.020</w:t>
            </w: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  <w:t>04.122.0001.20101</w:t>
            </w:r>
          </w:p>
        </w:tc>
        <w:tc>
          <w:tcPr>
            <w:tcW w:w="2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  <w:t>Manutenção das Secretarias</w:t>
            </w:r>
          </w:p>
        </w:tc>
        <w:tc>
          <w:tcPr>
            <w:tcW w:w="1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3.3.90.33.00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  <w:t>1.500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right"/>
              <w:rPr>
                <w:sz w:val="24"/>
                <w:szCs w:val="24"/>
              </w:rPr>
            </w:pPr>
            <w:r>
              <w:rPr>
                <w:rFonts w:cs="Arial" w:ascii="Arial" w:hAnsi="Arial"/>
                <w:bCs/>
                <w:sz w:val="24"/>
                <w:szCs w:val="24"/>
              </w:rPr>
              <w:t>8.000,00</w:t>
            </w:r>
          </w:p>
        </w:tc>
      </w:tr>
      <w:tr>
        <w:trPr>
          <w:trHeight w:val="702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  <w:t>414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02.020</w:t>
            </w: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  <w:t>27.812.0011.21102</w:t>
            </w:r>
          </w:p>
        </w:tc>
        <w:tc>
          <w:tcPr>
            <w:tcW w:w="2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  <w:t>Conceder o benefício do Programa Bolsa Atleta</w:t>
            </w:r>
          </w:p>
        </w:tc>
        <w:tc>
          <w:tcPr>
            <w:tcW w:w="1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3.3.90.36.00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  <w:t>1.500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right"/>
              <w:rPr>
                <w:sz w:val="24"/>
                <w:szCs w:val="24"/>
              </w:rPr>
            </w:pPr>
            <w:r>
              <w:rPr>
                <w:rFonts w:cs="Arial" w:ascii="Arial" w:hAnsi="Arial"/>
                <w:bCs/>
                <w:sz w:val="24"/>
                <w:szCs w:val="24"/>
              </w:rPr>
              <w:t>20.000,00</w:t>
            </w:r>
          </w:p>
        </w:tc>
      </w:tr>
      <w:tr>
        <w:trPr>
          <w:trHeight w:val="634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2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04.001</w:t>
            </w: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08.122.0001.20101</w:t>
            </w:r>
          </w:p>
        </w:tc>
        <w:tc>
          <w:tcPr>
            <w:tcW w:w="2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Manutenção das Secretarias</w:t>
            </w:r>
          </w:p>
        </w:tc>
        <w:tc>
          <w:tcPr>
            <w:tcW w:w="1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3.1.90.11.01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  <w:t>1.500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right"/>
              <w:rPr/>
            </w:pPr>
            <w:r>
              <w:rPr>
                <w:rFonts w:cs="Arial" w:ascii="Arial" w:hAnsi="Arial"/>
                <w:sz w:val="22"/>
                <w:szCs w:val="22"/>
              </w:rPr>
              <w:t>16.000,00</w:t>
            </w:r>
          </w:p>
        </w:tc>
      </w:tr>
      <w:tr>
        <w:trPr>
          <w:trHeight w:val="687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46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02.003</w:t>
            </w: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04.122.0001.20101</w:t>
            </w:r>
          </w:p>
        </w:tc>
        <w:tc>
          <w:tcPr>
            <w:tcW w:w="2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Manutenção das Secretarias</w:t>
            </w:r>
          </w:p>
        </w:tc>
        <w:tc>
          <w:tcPr>
            <w:tcW w:w="1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3.3.90.39.00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  <w:t>1.720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13.000,00</w:t>
            </w:r>
          </w:p>
        </w:tc>
      </w:tr>
      <w:tr>
        <w:trPr>
          <w:trHeight w:val="390" w:hRule="atLeast"/>
        </w:trPr>
        <w:tc>
          <w:tcPr>
            <w:tcW w:w="88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40" w:after="40"/>
              <w:jc w:val="right"/>
              <w:rPr>
                <w:i w:val="false"/>
                <w:iCs w:val="false"/>
              </w:rPr>
            </w:pPr>
            <w:r>
              <w:rPr>
                <w:rFonts w:cs="Arial" w:ascii="Arial" w:hAnsi="Arial"/>
                <w:b/>
                <w:i w:val="false"/>
                <w:iCs w:val="false"/>
                <w:sz w:val="22"/>
                <w:szCs w:val="22"/>
              </w:rPr>
              <w:t>TOTAL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right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121.000,00</w:t>
            </w:r>
          </w:p>
        </w:tc>
      </w:tr>
    </w:tbl>
    <w:p>
      <w:pPr>
        <w:pStyle w:val="Normal"/>
        <w:jc w:val="both"/>
        <w:rPr>
          <w:rFonts w:ascii="Arial" w:hAnsi="Arial" w:cs="Arial"/>
          <w:b/>
          <w:bCs/>
          <w:sz w:val="26"/>
          <w:szCs w:val="26"/>
        </w:rPr>
      </w:pPr>
      <w:r>
        <w:rPr>
          <w:rFonts w:cs="Arial" w:ascii="Arial" w:hAnsi="Arial"/>
          <w:b/>
          <w:bCs/>
          <w:sz w:val="26"/>
          <w:szCs w:val="26"/>
        </w:rPr>
      </w:r>
    </w:p>
    <w:p>
      <w:pPr>
        <w:pStyle w:val="Normal"/>
        <w:spacing w:lineRule="auto" w:line="360"/>
        <w:ind w:firstLine="1276" w:right="0"/>
        <w:jc w:val="both"/>
        <w:rPr/>
      </w:pPr>
      <w:r>
        <w:rPr>
          <w:rFonts w:cs="Arial" w:ascii="Arial" w:hAnsi="Arial"/>
          <w:b/>
          <w:bCs/>
          <w:sz w:val="26"/>
          <w:szCs w:val="26"/>
        </w:rPr>
        <w:t>Artigo 3º</w:t>
      </w:r>
      <w:r>
        <w:rPr>
          <w:rFonts w:cs="Arial" w:ascii="Arial" w:hAnsi="Arial"/>
          <w:sz w:val="26"/>
          <w:szCs w:val="26"/>
        </w:rPr>
        <w:t xml:space="preserve"> – </w:t>
      </w:r>
      <w:r>
        <w:rPr>
          <w:rFonts w:eastAsia="Times New Roman" w:cs="Arial" w:ascii="Arial" w:hAnsi="Arial"/>
          <w:color w:val="auto"/>
          <w:kern w:val="0"/>
          <w:sz w:val="26"/>
          <w:szCs w:val="26"/>
          <w:lang w:val="pt-BR" w:eastAsia="zh-CN" w:bidi="ar-SA"/>
        </w:rPr>
        <w:t xml:space="preserve">Para permitir a abertura do crédito mencionada no Art. 1º, na Fonte 2.719, será utilizado o </w:t>
      </w:r>
      <w:r>
        <w:rPr>
          <w:rFonts w:eastAsia="Times New Roman" w:cs="Arial" w:ascii="Arial" w:hAnsi="Arial"/>
          <w:b/>
          <w:bCs/>
          <w:color w:val="auto"/>
          <w:kern w:val="0"/>
          <w:sz w:val="26"/>
          <w:szCs w:val="26"/>
          <w:lang w:val="pt-BR" w:eastAsia="zh-CN" w:bidi="ar-SA"/>
        </w:rPr>
        <w:t>superávit financeiro</w:t>
      </w:r>
      <w:r>
        <w:rPr>
          <w:rFonts w:eastAsia="Times New Roman" w:cs="Arial" w:ascii="Arial" w:hAnsi="Arial"/>
          <w:color w:val="auto"/>
          <w:kern w:val="0"/>
          <w:sz w:val="26"/>
          <w:szCs w:val="26"/>
          <w:lang w:val="pt-BR" w:eastAsia="zh-CN" w:bidi="ar-SA"/>
        </w:rPr>
        <w:t xml:space="preserve"> apurado no Balanço Patrimonial do exercício anterior, referente aos recursos provenientes de Transferências da Política Nacional Aldir Blanc de Fomento à Cultura (Lei nº 14.399/2022), conforme disposto no Art. 43, § 1º, inciso I, da Lei nº 4.320/64.</w:t>
      </w:r>
    </w:p>
    <w:p>
      <w:pPr>
        <w:pStyle w:val="Normal"/>
        <w:spacing w:lineRule="auto" w:line="360"/>
        <w:ind w:firstLine="1276" w:right="0"/>
        <w:jc w:val="both"/>
        <w:rPr>
          <w:rFonts w:ascii="Arial" w:hAnsi="Arial" w:eastAsia="Calibri" w:cs="Arial"/>
          <w:sz w:val="26"/>
          <w:szCs w:val="26"/>
          <w:lang w:eastAsia="en-US"/>
        </w:rPr>
      </w:pPr>
      <w:r>
        <w:rPr>
          <w:rFonts w:eastAsia="Calibri" w:cs="Arial" w:ascii="Arial" w:hAnsi="Arial"/>
          <w:sz w:val="26"/>
          <w:szCs w:val="26"/>
          <w:lang w:eastAsia="en-US"/>
        </w:rPr>
      </w:r>
    </w:p>
    <w:p>
      <w:pPr>
        <w:pStyle w:val="Normal"/>
        <w:spacing w:lineRule="auto" w:line="360"/>
        <w:ind w:firstLine="1276" w:right="0"/>
        <w:jc w:val="both"/>
        <w:rPr>
          <w:rFonts w:ascii="Arial" w:hAnsi="Arial" w:eastAsia="Calibri" w:cs="Arial"/>
          <w:sz w:val="26"/>
          <w:szCs w:val="26"/>
          <w:lang w:eastAsia="en-US"/>
        </w:rPr>
      </w:pPr>
      <w:r>
        <w:rPr>
          <w:rFonts w:eastAsia="Calibri" w:cs="Arial" w:ascii="Arial" w:hAnsi="Arial"/>
          <w:sz w:val="26"/>
          <w:szCs w:val="26"/>
          <w:lang w:eastAsia="en-US"/>
        </w:rPr>
      </w:r>
    </w:p>
    <w:p>
      <w:pPr>
        <w:pStyle w:val="Normal"/>
        <w:spacing w:lineRule="auto" w:line="360"/>
        <w:ind w:firstLine="1276" w:right="0"/>
        <w:jc w:val="both"/>
        <w:rPr>
          <w:rFonts w:ascii="Arial" w:hAnsi="Arial" w:eastAsia="Calibri" w:cs="Arial"/>
          <w:sz w:val="26"/>
          <w:szCs w:val="26"/>
          <w:lang w:eastAsia="en-US"/>
        </w:rPr>
      </w:pPr>
      <w:r>
        <w:rPr>
          <w:rFonts w:eastAsia="Calibri" w:cs="Arial" w:ascii="Arial" w:hAnsi="Arial"/>
          <w:sz w:val="26"/>
          <w:szCs w:val="26"/>
          <w:lang w:eastAsia="en-US"/>
        </w:rPr>
      </w:r>
    </w:p>
    <w:tbl>
      <w:tblPr>
        <w:tblW w:w="10140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8171"/>
        <w:gridCol w:w="60"/>
        <w:gridCol w:w="1"/>
        <w:gridCol w:w="1908"/>
      </w:tblGrid>
      <w:tr>
        <w:trPr>
          <w:trHeight w:val="735" w:hRule="atLeast"/>
        </w:trPr>
        <w:tc>
          <w:tcPr>
            <w:tcW w:w="101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DEMONSTRATIVO DO SUPERÁVIT/DÉFICIT FINANCEIRO APURADO NO BALANÇO PATRIMONIAL 2025</w:t>
            </w:r>
          </w:p>
        </w:tc>
      </w:tr>
      <w:tr>
        <w:trPr>
          <w:trHeight w:val="725" w:hRule="atLeast"/>
        </w:trPr>
        <w:tc>
          <w:tcPr>
            <w:tcW w:w="8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bidi w:val="0"/>
              <w:jc w:val="both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Transferências da Política Nacional Aldir Blanc de Fomento à Cultura - Lei nº 14.399/2022 (Fonte de Recurso 1.719.0000.0000)</w:t>
            </w:r>
          </w:p>
        </w:tc>
        <w:tc>
          <w:tcPr>
            <w:tcW w:w="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40" w:after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spacing w:before="240" w:after="0"/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cs="Arial" w:ascii="Arial" w:hAnsi="Arial"/>
                <w:b/>
                <w:color w:val="000000"/>
              </w:rPr>
            </w:r>
          </w:p>
        </w:tc>
        <w:tc>
          <w:tcPr>
            <w:tcW w:w="19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193.479,33</w:t>
            </w:r>
          </w:p>
          <w:p>
            <w:pPr>
              <w:pStyle w:val="Normal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>
          <w:rFonts w:ascii="Arial" w:hAnsi="Arial" w:cs="Arial"/>
          <w:b/>
          <w:bCs/>
          <w:sz w:val="26"/>
          <w:szCs w:val="26"/>
        </w:rPr>
      </w:pPr>
      <w:r>
        <w:rPr>
          <w:rFonts w:cs="Arial" w:ascii="Arial" w:hAnsi="Arial"/>
          <w:b/>
          <w:bCs/>
          <w:sz w:val="26"/>
          <w:szCs w:val="26"/>
        </w:rPr>
      </w:r>
    </w:p>
    <w:p>
      <w:pPr>
        <w:pStyle w:val="Normal"/>
        <w:spacing w:lineRule="auto" w:line="240"/>
        <w:ind w:firstLine="1416" w:right="0"/>
        <w:jc w:val="both"/>
        <w:rPr>
          <w:rFonts w:ascii="Arial" w:hAnsi="Arial" w:cs="Arial"/>
          <w:b/>
          <w:bCs/>
          <w:sz w:val="26"/>
          <w:szCs w:val="26"/>
        </w:rPr>
      </w:pPr>
      <w:r>
        <w:rPr>
          <w:rFonts w:cs="Arial" w:ascii="Arial" w:hAnsi="Arial"/>
          <w:b/>
          <w:bCs/>
          <w:sz w:val="26"/>
          <w:szCs w:val="26"/>
        </w:rPr>
      </w:r>
    </w:p>
    <w:p>
      <w:pPr>
        <w:pStyle w:val="Normal"/>
        <w:spacing w:lineRule="auto" w:line="360"/>
        <w:ind w:left="1276" w:right="0"/>
        <w:rPr/>
      </w:pPr>
      <w:r>
        <w:rPr>
          <w:rFonts w:cs="Arial" w:ascii="Arial" w:hAnsi="Arial"/>
          <w:b/>
          <w:bCs/>
          <w:sz w:val="26"/>
          <w:szCs w:val="26"/>
        </w:rPr>
        <w:t>Artigo 4º</w:t>
      </w:r>
      <w:r>
        <w:rPr>
          <w:rFonts w:cs="Arial" w:ascii="Arial" w:hAnsi="Arial"/>
          <w:sz w:val="26"/>
          <w:szCs w:val="26"/>
        </w:rPr>
        <w:t xml:space="preserve"> – Este Decreto entrará em vigor na data de sua publicação.</w:t>
      </w:r>
    </w:p>
    <w:p>
      <w:pPr>
        <w:pStyle w:val="Normal"/>
        <w:spacing w:lineRule="auto" w:line="360"/>
        <w:ind w:left="1276" w:right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spacing w:lineRule="auto" w:line="360"/>
        <w:ind w:firstLine="1418" w:right="0"/>
        <w:rPr/>
      </w:pPr>
      <w:r>
        <w:rPr>
          <w:rFonts w:cs="Arial" w:ascii="Arial" w:hAnsi="Arial"/>
          <w:sz w:val="26"/>
          <w:szCs w:val="26"/>
        </w:rPr>
        <w:t>Prefeitura do Município de Pinheiral, 15 de julho de 2026.</w:t>
      </w:r>
    </w:p>
    <w:p>
      <w:pPr>
        <w:pStyle w:val="Normal"/>
        <w:ind w:firstLine="1418" w:right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Ttulouser"/>
        <w:ind w:hanging="0" w:left="0" w:right="51"/>
        <w:jc w:val="left"/>
        <w:rPr>
          <w:rFonts w:ascii="Arial" w:hAnsi="Arial" w:cs="Arial"/>
          <w:b w:val="false"/>
          <w:sz w:val="26"/>
          <w:szCs w:val="26"/>
          <w:u w:val="none"/>
          <w:lang w:val="pt-BR"/>
        </w:rPr>
      </w:pPr>
      <w:r>
        <w:rPr>
          <w:rFonts w:cs="Arial"/>
          <w:b w:val="false"/>
          <w:sz w:val="26"/>
          <w:szCs w:val="26"/>
          <w:u w:val="none"/>
          <w:lang w:val="pt-BR"/>
        </w:rPr>
      </w:r>
    </w:p>
    <w:p>
      <w:pPr>
        <w:pStyle w:val="BodyText"/>
        <w:ind w:hanging="0" w:left="0" w:right="51"/>
        <w:jc w:val="left"/>
        <w:rPr>
          <w:rFonts w:ascii="Arial" w:hAnsi="Arial" w:cs="Arial"/>
          <w:b w:val="false"/>
          <w:sz w:val="26"/>
          <w:szCs w:val="26"/>
          <w:u w:val="none"/>
          <w:lang w:val="pt-BR"/>
        </w:rPr>
      </w:pPr>
      <w:r>
        <w:rPr>
          <w:rFonts w:cs="Arial" w:ascii="Arial" w:hAnsi="Arial"/>
          <w:b w:val="false"/>
          <w:sz w:val="26"/>
          <w:szCs w:val="26"/>
          <w:u w:val="none"/>
          <w:lang w:val="pt-BR"/>
        </w:rPr>
      </w:r>
    </w:p>
    <w:p>
      <w:pPr>
        <w:pStyle w:val="Ttulouser"/>
        <w:ind w:hanging="0" w:left="0" w:right="51"/>
        <w:rPr>
          <w:rFonts w:cs="Arial"/>
          <w:b w:val="false"/>
          <w:sz w:val="26"/>
          <w:szCs w:val="26"/>
          <w:u w:val="none"/>
          <w:lang w:val="pt-BR"/>
        </w:rPr>
      </w:pPr>
      <w:r>
        <w:rPr>
          <w:rFonts w:cs="Arial"/>
          <w:b w:val="false"/>
          <w:sz w:val="26"/>
          <w:szCs w:val="26"/>
          <w:u w:val="none"/>
          <w:lang w:val="pt-BR"/>
        </w:rPr>
      </w:r>
    </w:p>
    <w:p>
      <w:pPr>
        <w:pStyle w:val="Ttulouser"/>
        <w:ind w:hanging="0" w:left="0" w:right="51"/>
        <w:rPr>
          <w:rFonts w:cs="Arial"/>
          <w:b w:val="false"/>
          <w:sz w:val="26"/>
          <w:szCs w:val="26"/>
          <w:u w:val="none"/>
          <w:lang w:val="pt-BR"/>
        </w:rPr>
      </w:pPr>
      <w:r>
        <w:rPr>
          <w:rFonts w:cs="Arial"/>
          <w:b w:val="false"/>
          <w:sz w:val="26"/>
          <w:szCs w:val="26"/>
          <w:u w:val="none"/>
          <w:lang w:val="pt-BR"/>
        </w:rPr>
        <w:t>LUCIANO MUNIZ FERNANDES</w:t>
      </w:r>
    </w:p>
    <w:p>
      <w:pPr>
        <w:pStyle w:val="Ttulouser"/>
        <w:ind w:hanging="0" w:left="0" w:right="51"/>
        <w:rPr/>
      </w:pPr>
      <w:r>
        <w:rPr>
          <w:rFonts w:cs="Arial"/>
          <w:b w:val="false"/>
          <w:sz w:val="26"/>
          <w:szCs w:val="26"/>
          <w:u w:val="none"/>
        </w:rPr>
        <w:t>PREFEIT</w:t>
      </w:r>
      <w:r>
        <w:rPr>
          <w:rFonts w:cs="Arial"/>
          <w:b w:val="false"/>
          <w:sz w:val="26"/>
          <w:szCs w:val="26"/>
          <w:u w:val="none"/>
          <w:lang w:val="pt-BR"/>
        </w:rPr>
        <w:t>O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720" w:gutter="0" w:header="709" w:top="766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drawing>
        <wp:inline distT="0" distB="0" distL="0" distR="0">
          <wp:extent cx="6015990" cy="932180"/>
          <wp:effectExtent l="0" t="0" r="0" b="0"/>
          <wp:docPr id="1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9" t="-46" r="-9" b="-46"/>
                  <a:stretch>
                    <a:fillRect/>
                  </a:stretch>
                </pic:blipFill>
                <pic:spPr bwMode="auto">
                  <a:xfrm>
                    <a:off x="0" y="0"/>
                    <a:ext cx="6015990" cy="932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pt-BR" w:eastAsia="pt-BR"/>
      </w:rPr>
      <w:t xml:space="preserve">                                                                                                                       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drawing>
        <wp:inline distT="0" distB="0" distL="0" distR="0">
          <wp:extent cx="6015990" cy="932180"/>
          <wp:effectExtent l="0" t="0" r="0" b="0"/>
          <wp:docPr id="2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9" t="-46" r="-9" b="-46"/>
                  <a:stretch>
                    <a:fillRect/>
                  </a:stretch>
                </pic:blipFill>
                <pic:spPr bwMode="auto">
                  <a:xfrm>
                    <a:off x="0" y="0"/>
                    <a:ext cx="6015990" cy="932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pt-BR" w:eastAsia="pt-BR"/>
      </w:rPr>
      <w:t xml:space="preserve">                                                                                                                       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zh-CN" w:bidi="ar-SA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jc w:val="center"/>
      <w:outlineLvl w:val="1"/>
    </w:pPr>
    <w:rPr>
      <w:sz w:val="28"/>
      <w:szCs w:val="20"/>
      <w:lang w:val="pt-BR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jc w:val="both"/>
      <w:outlineLvl w:val="2"/>
    </w:pPr>
    <w:rPr>
      <w:b/>
      <w:szCs w:val="20"/>
      <w:lang w:val="pt-BR"/>
    </w:rPr>
  </w:style>
  <w:style w:type="character" w:styleId="WW8Num6z0">
    <w:name w:val="WW8Num6z0"/>
    <w:qFormat/>
    <w:rPr>
      <w:rFonts w:ascii="Symbol" w:hAnsi="Symbol" w:cs="Symbol"/>
    </w:rPr>
  </w:style>
  <w:style w:type="character" w:styleId="WW8Num7z0">
    <w:name w:val="WW8Num7z0"/>
    <w:qFormat/>
    <w:rPr>
      <w:rFonts w:ascii="Symbol" w:hAnsi="Symbol" w:cs="Symbol"/>
    </w:rPr>
  </w:style>
  <w:style w:type="character" w:styleId="WW8Num8z0">
    <w:name w:val="WW8Num8z0"/>
    <w:qFormat/>
    <w:rPr>
      <w:rFonts w:ascii="Symbol" w:hAnsi="Symbol" w:cs="Symbol"/>
    </w:rPr>
  </w:style>
  <w:style w:type="character" w:styleId="WW8Num9z0">
    <w:name w:val="WW8Num9z0"/>
    <w:qFormat/>
    <w:rPr>
      <w:rFonts w:ascii="Symbol" w:hAnsi="Symbol" w:cs="Symbol"/>
    </w:rPr>
  </w:style>
  <w:style w:type="character" w:styleId="WW8Num11z0">
    <w:name w:val="WW8Num11z0"/>
    <w:qFormat/>
    <w:rPr>
      <w:rFonts w:ascii="Symbol" w:hAnsi="Symbol" w:cs="Symbol"/>
    </w:rPr>
  </w:style>
  <w:style w:type="character" w:styleId="Fontepargpadro">
    <w:name w:val="Fonte parág. padrão"/>
    <w:qFormat/>
    <w:rPr/>
  </w:style>
  <w:style w:type="character" w:styleId="CabealhoChar">
    <w:name w:val="Cabeçalho Char"/>
    <w:qFormat/>
    <w:rPr>
      <w:rFonts w:ascii="Times New Roman" w:hAnsi="Times New Roman" w:eastAsia="Times New Roman" w:cs="Times New Roman"/>
      <w:sz w:val="24"/>
      <w:szCs w:val="24"/>
    </w:rPr>
  </w:style>
  <w:style w:type="character" w:styleId="RodapChar">
    <w:name w:val="Rodapé Char"/>
    <w:qFormat/>
    <w:rPr>
      <w:rFonts w:ascii="Times New Roman" w:hAnsi="Times New Roman" w:eastAsia="Times New Roman" w:cs="Times New Roman"/>
      <w:sz w:val="24"/>
      <w:szCs w:val="24"/>
    </w:rPr>
  </w:style>
  <w:style w:type="character" w:styleId="TtuloChar">
    <w:name w:val="Título Char"/>
    <w:qFormat/>
    <w:rPr>
      <w:rFonts w:ascii="Arial" w:hAnsi="Arial" w:eastAsia="Times New Roman" w:cs="Arial"/>
      <w:b/>
      <w:bCs/>
      <w:spacing w:val="-5"/>
      <w:sz w:val="28"/>
      <w:u w:val="single"/>
    </w:rPr>
  </w:style>
  <w:style w:type="character" w:styleId="Ttulo2Char">
    <w:name w:val="Título 2 Char"/>
    <w:qFormat/>
    <w:rPr>
      <w:rFonts w:ascii="Times New Roman" w:hAnsi="Times New Roman" w:eastAsia="Times New Roman" w:cs="Times New Roman"/>
      <w:sz w:val="28"/>
    </w:rPr>
  </w:style>
  <w:style w:type="character" w:styleId="Ttulo3Char">
    <w:name w:val="Título 3 Char"/>
    <w:qFormat/>
    <w:rPr>
      <w:rFonts w:ascii="Times New Roman" w:hAnsi="Times New Roman" w:eastAsia="Times New Roman" w:cs="Times New Roman"/>
      <w:b/>
      <w:sz w:val="24"/>
    </w:rPr>
  </w:style>
  <w:style w:type="character" w:styleId="TextodebaloChar">
    <w:name w:val="Texto de balão Char"/>
    <w:qFormat/>
    <w:rPr>
      <w:rFonts w:ascii="Tahoma" w:hAnsi="Tahoma" w:eastAsia="Times New Roman" w:cs="Tahoma"/>
      <w:sz w:val="16"/>
      <w:szCs w:val="16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user">
    <w:name w:val="Título (user)"/>
    <w:basedOn w:val="Normal"/>
    <w:next w:val="BodyText"/>
    <w:qFormat/>
    <w:pPr>
      <w:ind w:hanging="0" w:left="1080" w:right="0"/>
      <w:jc w:val="center"/>
    </w:pPr>
    <w:rPr>
      <w:rFonts w:ascii="Arial" w:hAnsi="Arial" w:cs="Arial"/>
      <w:b/>
      <w:bCs/>
      <w:spacing w:val="-5"/>
      <w:sz w:val="28"/>
      <w:szCs w:val="20"/>
      <w:u w:val="single"/>
      <w:lang w:val="pt-BR"/>
    </w:rPr>
  </w:style>
  <w:style w:type="paragraph" w:styleId="ndiceuser">
    <w:name w:val="Índice (user)"/>
    <w:basedOn w:val="Normal"/>
    <w:qFormat/>
    <w:pPr>
      <w:suppressLineNumbers/>
    </w:pPr>
    <w:rPr>
      <w:rFonts w:cs="Lucida Sans"/>
    </w:rPr>
  </w:style>
  <w:style w:type="paragraph" w:styleId="Corpodetexto21">
    <w:name w:val="Corpo de texto 21"/>
    <w:basedOn w:val="Normal"/>
    <w:qFormat/>
    <w:pPr>
      <w:jc w:val="both"/>
    </w:pPr>
    <w:rPr>
      <w:szCs w:val="20"/>
    </w:rPr>
  </w:style>
  <w:style w:type="paragraph" w:styleId="Cabealhoerodapuser">
    <w:name w:val="Cabeçalho e rodapé (user)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252" w:leader="none"/>
        <w:tab w:val="right" w:pos="8504" w:leader="none"/>
      </w:tabs>
    </w:pPr>
    <w:rPr>
      <w:lang w:val="pt-BR"/>
    </w:rPr>
  </w:style>
  <w:style w:type="paragraph" w:styleId="Footer">
    <w:name w:val="footer"/>
    <w:basedOn w:val="Normal"/>
    <w:pPr>
      <w:tabs>
        <w:tab w:val="clear" w:pos="709"/>
        <w:tab w:val="center" w:pos="4252" w:leader="none"/>
        <w:tab w:val="right" w:pos="8504" w:leader="none"/>
      </w:tabs>
    </w:pPr>
    <w:rPr>
      <w:lang w:val="pt-BR"/>
    </w:rPr>
  </w:style>
  <w:style w:type="paragraph" w:styleId="Textodebalo">
    <w:name w:val="Texto de balão"/>
    <w:basedOn w:val="Normal"/>
    <w:qFormat/>
    <w:pPr/>
    <w:rPr>
      <w:rFonts w:ascii="Tahoma" w:hAnsi="Tahoma" w:cs="Tahoma"/>
      <w:sz w:val="16"/>
      <w:szCs w:val="16"/>
      <w:lang w:val="pt-BR"/>
    </w:rPr>
  </w:style>
  <w:style w:type="paragraph" w:styleId="Contedodatabelauser">
    <w:name w:val="Conteúdo da tabela (user)"/>
    <w:basedOn w:val="Normal"/>
    <w:qFormat/>
    <w:pPr>
      <w:widowControl w:val="false"/>
      <w:suppressLineNumbers/>
    </w:pPr>
    <w:rPr/>
  </w:style>
  <w:style w:type="paragraph" w:styleId="Ttulodetabelauser">
    <w:name w:val="Título de tabela (user)"/>
    <w:basedOn w:val="Contedodatabelauser"/>
    <w:qFormat/>
    <w:pPr>
      <w:suppressLineNumbers/>
      <w:jc w:val="center"/>
    </w:pPr>
    <w:rPr>
      <w:b/>
      <w:bCs/>
    </w:rPr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956</TotalTime>
  <Application>LibreOffice/26.2.4.2$Windows_X86_64 LibreOffice_project/0229ac93fcf0d7cbc6376066c6f35021cef002dc</Application>
  <AppVersion>15.0000</AppVersion>
  <Pages>3</Pages>
  <Words>446</Words>
  <Characters>2793</Characters>
  <CharactersWithSpaces>3362</CharactersWithSpaces>
  <Paragraphs>135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2026-03-03T16:05:00Z</dcterms:created>
  <dc:creator>Anderson</dc:creator>
  <dc:description/>
  <dc:language>pt-BR</dc:language>
  <cp:lastModifiedBy/>
  <cp:lastPrinted>2026-07-22T09:46:11Z</cp:lastPrinted>
  <dcterms:modified xsi:type="dcterms:W3CDTF">2026-07-22T09:44:21Z</dcterms:modified>
  <cp:revision>124</cp:revision>
  <dc:subject/>
  <dc:title>DECRETO Nº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